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rPr>
          <w:sz w:val="54"/>
        </w:rPr>
      </w:pPr>
      <w:r>
        <w:rPr>
          <w:sz w:val="54"/>
        </w:rPr>
        <w:t xml:space="preserve">Публичная оферта</w:t>
      </w:r>
      <w:r>
        <w:rPr>
          <w:sz w:val="54"/>
        </w:rPr>
      </w:r>
      <w:r>
        <w:rPr>
          <w:sz w:val="54"/>
        </w:rPr>
      </w:r>
    </w:p>
    <w:p>
      <w:pPr>
        <w:pStyle w:val="842"/>
        <w:numPr>
          <w:ilvl w:val="0"/>
          <w:numId w:val="1"/>
        </w:numPr>
        <w:spacing w:before="120" w:after="120"/>
        <w:tabs>
          <w:tab w:val="left" w:pos="709" w:leader="none"/>
        </w:tabs>
        <w:rPr>
          <w:b/>
          <w:sz w:val="27"/>
        </w:rPr>
      </w:pPr>
      <w:r>
        <w:rPr>
          <w:b/>
          <w:sz w:val="27"/>
        </w:rPr>
        <w:t xml:space="preserve">Общие положения</w:t>
      </w:r>
      <w:r>
        <w:rPr>
          <w:b/>
          <w:sz w:val="27"/>
        </w:rPr>
      </w:r>
      <w:r>
        <w:rPr>
          <w:b/>
          <w:sz w:val="27"/>
        </w:rPr>
      </w:r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</w:t>
      </w:r>
      <w:r>
        <w:t xml:space="preserve">Настоящий публичный договор (далее Договор, договор) представляет собой официальн</w:t>
      </w:r>
      <w:r>
        <w:t xml:space="preserve">ое предложение сайта, принадлежащего компании ИП Селиванова Екатерина Александровна, далее именуемого «Исполнитель», направленное на оказание информационных услуг юридическому или дееспособному физическому лицу на условиях, изложенных в настоящем договоре.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В соответствии с пунктом 2 статьи 437 Гражданского кодекса Российской Федерации (далее по тексту – ГК РФ) данный документ является публичным Договором (в </w:t>
      </w:r>
      <w:r>
        <w:t xml:space="preserve">части условий оказания услуг), а принятие изложенных ниже условий, регистрация на сайте и оплата услуг Исполнителя - акцептом Оферты. В соответствии с пунктом 3 статьи 438 ГК РФ акцепт Оферты равносилен заключению договора на условиях, изложенных в Оферте.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При толковании у</w:t>
      </w:r>
      <w:r>
        <w:t xml:space="preserve">словий настоящего публичного договора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</w:t>
      </w:r>
      <w:r>
        <w:t xml:space="preserve">целом. Если правила не позволяют определить содержание договора, до заключения настоящего договора сторонами должна быть выяснена действительная общая воля сторон с учетом цели договора. При этом принимаются во внимание все соответствующие обстоятельства, </w:t>
      </w:r>
      <w:r>
        <w:t xml:space="preserve">включая предшествующие договору переговоры и переписку, практику, установившуюся во взаимных отношениях сторон, обычаи, последующее поведение сторон. В случае акцепта оферты и оплаты услуг все условия настоящего договора считаются согласованными сторонами.</w:t>
      </w:r>
      <w:r/>
    </w:p>
    <w:p>
      <w:pPr>
        <w:pStyle w:val="842"/>
        <w:numPr>
          <w:ilvl w:val="0"/>
          <w:numId w:val="1"/>
        </w:numPr>
        <w:spacing w:before="120" w:after="120"/>
        <w:tabs>
          <w:tab w:val="left" w:pos="709" w:leader="none"/>
        </w:tabs>
        <w:rPr>
          <w:b/>
          <w:sz w:val="27"/>
        </w:rPr>
      </w:pPr>
      <w:r>
        <w:rPr>
          <w:b/>
          <w:sz w:val="27"/>
        </w:rPr>
        <w:t xml:space="preserve">Определения и термины</w:t>
      </w:r>
      <w:r>
        <w:rPr>
          <w:b/>
          <w:sz w:val="27"/>
        </w:rPr>
      </w:r>
      <w:r>
        <w:rPr>
          <w:b/>
          <w:sz w:val="27"/>
        </w:rPr>
      </w:r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В целях настоящей Оферты нижеприведенные термины используются в следующем значении:</w:t>
      </w:r>
      <w:r/>
    </w:p>
    <w:p>
      <w:pPr>
        <w:pStyle w:val="842"/>
        <w:ind w:left="1418"/>
        <w:spacing w:before="120" w:after="120"/>
      </w:pPr>
      <w:r>
        <w:t xml:space="preserve">Оферта – предложение заключить настоящий публичный договор на оказание информационных услуг.</w:t>
      </w:r>
      <w:r/>
    </w:p>
    <w:p>
      <w:pPr>
        <w:pStyle w:val="842"/>
        <w:ind w:left="1418"/>
        <w:spacing w:before="120" w:after="120"/>
      </w:pPr>
      <w:r>
        <w:t xml:space="preserve">Сайт – интернет-сайт </w:t>
      </w:r>
      <w:hyperlink r:id="rId9" w:tooltip="https://dominfo.pro" w:history="1">
        <w:r>
          <w:rPr>
            <w:rStyle w:val="840"/>
          </w:rPr>
          <w:t xml:space="preserve">https://dominfo.</w:t>
        </w:r>
        <w:r>
          <w:rPr>
            <w:rStyle w:val="840"/>
            <w:lang w:val="en-US"/>
          </w:rPr>
          <w:t xml:space="preserve">pro</w:t>
        </w:r>
      </w:hyperlink>
      <w:r>
        <w:t xml:space="preserve">, используемый Исполнителем для оказания услуг.</w:t>
      </w:r>
      <w:r/>
    </w:p>
    <w:p>
      <w:pPr>
        <w:pStyle w:val="842"/>
        <w:ind w:left="1418"/>
        <w:spacing w:before="120" w:after="120"/>
      </w:pPr>
      <w:r>
        <w:t xml:space="preserve">Акцепт Оферты — полное и безоговорочное принятие Оферты путем осуществления действий, указанных в п. 9.1. Согласия.</w:t>
      </w:r>
      <w:r/>
    </w:p>
    <w:p>
      <w:pPr>
        <w:pStyle w:val="842"/>
        <w:ind w:left="1418"/>
        <w:spacing w:before="120" w:after="120"/>
      </w:pPr>
      <w:r>
        <w:t xml:space="preserve">Заказчик — лицо, осуществившее </w:t>
      </w:r>
      <w:r>
        <w:t xml:space="preserve">Aкцeпт</w:t>
      </w:r>
      <w:r>
        <w:t xml:space="preserve"> Оферты и являющееся заказчиком Информационных услуг на условиях заключаемого публичного договора.</w:t>
      </w:r>
      <w:r/>
    </w:p>
    <w:p>
      <w:pPr>
        <w:pStyle w:val="842"/>
        <w:ind w:left="1418"/>
        <w:spacing w:before="120" w:after="120"/>
      </w:pPr>
      <w:r>
        <w:t xml:space="preserve">Договор на оказание информационных услуг (далее – Договор) – договор между Заказчиком и Исполнителем на предоставление Информационных услуг, который заключается посредством Акцепта Оферты.</w:t>
      </w:r>
      <w:r/>
    </w:p>
    <w:p>
      <w:pPr>
        <w:pStyle w:val="842"/>
        <w:numPr>
          <w:ilvl w:val="0"/>
          <w:numId w:val="1"/>
        </w:numPr>
        <w:spacing w:before="120" w:after="120"/>
        <w:tabs>
          <w:tab w:val="left" w:pos="709" w:leader="none"/>
        </w:tabs>
        <w:rPr>
          <w:b/>
          <w:sz w:val="27"/>
        </w:rPr>
      </w:pPr>
      <w:r>
        <w:rPr>
          <w:b/>
          <w:sz w:val="27"/>
        </w:rPr>
        <w:t xml:space="preserve">Предмет договора</w:t>
      </w:r>
      <w:r>
        <w:rPr>
          <w:b/>
          <w:sz w:val="27"/>
        </w:rPr>
      </w:r>
      <w:r>
        <w:rPr>
          <w:b/>
          <w:sz w:val="27"/>
        </w:rPr>
      </w:r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Предметом настоящего договора является возмездное оказание Заказчику Информационных услуг Исполнителем в соответствии с условиями настоящего договора.</w:t>
      </w:r>
      <w:r/>
    </w:p>
    <w:p>
      <w:pPr>
        <w:pStyle w:val="842"/>
        <w:numPr>
          <w:ilvl w:val="0"/>
          <w:numId w:val="1"/>
        </w:numPr>
        <w:spacing w:before="120" w:after="120"/>
        <w:tabs>
          <w:tab w:val="left" w:pos="709" w:leader="none"/>
        </w:tabs>
        <w:rPr>
          <w:b/>
          <w:sz w:val="27"/>
        </w:rPr>
      </w:pPr>
      <w:r>
        <w:rPr>
          <w:b/>
          <w:sz w:val="27"/>
        </w:rPr>
        <w:t xml:space="preserve">Условия оказания услуг</w:t>
      </w:r>
      <w:r>
        <w:rPr>
          <w:b/>
          <w:sz w:val="27"/>
        </w:rPr>
      </w:r>
      <w:r>
        <w:rPr>
          <w:b/>
          <w:sz w:val="27"/>
        </w:rPr>
      </w:r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rPr>
          <w:rFonts w:ascii="Roboto;sans-serif" w:hAnsi="Roboto;sans-serif"/>
          <w:color w:val="000000"/>
        </w:rPr>
        <w:t xml:space="preserve"> </w:t>
      </w:r>
      <w:r>
        <w:t xml:space="preserve">Исполнитель оказывает заказчику услугу по получению и первичной обработке запрашиваемой заказчиком информации </w:t>
      </w:r>
      <w:r>
        <w:t xml:space="preserve">в формате, определяемом заказчиком, в соответствии с деталями запроса, указанными Заказчиком при заполнении запроса (адрес объекта), в web форме</w:t>
      </w:r>
      <w:r>
        <w:t xml:space="preserve">, или в иных формах, которые позволяют однозначно определить, что заказчик получил запрошенную информацию. При этом Ис</w:t>
      </w:r>
      <w:r>
        <w:t xml:space="preserve">полнитель не отвечает за полную или временную неработоспособность телематических сервисов Заказчика, связанных с Услугой, и не может гарантировать 100% работоспособность указанных сервисов при оказании услуги и направлении ее результатов в адрес Заказчика.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Услуга, предусмотренная п. 4.1 настоящей оферты, оказывается в срок, не более чем 1 рабочего дня, исчисляемых с момента акцепта оферты в порядке, предусмотренном пунктом 9.1 настоящего договора.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Исполнитель считается </w:t>
      </w:r>
      <w:r>
        <w:t xml:space="preserve">исполнившим свои обязательства с момента направления запрашиваемой информации Заказчику, при этом не имеет значения дата получения указанной информации Заказчиком, а также понимание (или его отсутствие) в отношении предоставленной аналитической информации.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Полный перечень предоставляемых информационных услуг определяется их подробным описанием, представленны</w:t>
      </w:r>
      <w:r>
        <w:t xml:space="preserve">м на соответствующей странице Сайта. В случае, если какая-то информация несет в себе разночтения, содержит элементы неопределенности или иным образом может быть трактована двояко, сторона обязана воздержаться от заказа такой услуги до момента получения раз</w:t>
      </w:r>
      <w:r>
        <w:t xml:space="preserve">ъяснения от Исполнителя. Если сторона воспользуется услугой до получения разъяснений, то Заказчик и Исполнитель считают, что стороны получили полную информацию относительно услуги и не вправе ссылаться на то, что услуга оказана некорректно (некачественно).</w:t>
      </w:r>
      <w:r/>
    </w:p>
    <w:p>
      <w:pPr>
        <w:pStyle w:val="842"/>
        <w:numPr>
          <w:ilvl w:val="0"/>
          <w:numId w:val="1"/>
        </w:numPr>
        <w:spacing w:before="120" w:after="120"/>
        <w:tabs>
          <w:tab w:val="left" w:pos="709" w:leader="none"/>
        </w:tabs>
        <w:rPr>
          <w:b/>
          <w:sz w:val="27"/>
        </w:rPr>
      </w:pPr>
      <w:r>
        <w:rPr>
          <w:b/>
          <w:sz w:val="27"/>
        </w:rPr>
        <w:t xml:space="preserve">Права и обязанности исполнителя</w:t>
      </w:r>
      <w:r>
        <w:rPr>
          <w:b/>
          <w:sz w:val="27"/>
        </w:rPr>
      </w:r>
      <w:r>
        <w:rPr>
          <w:b/>
          <w:sz w:val="27"/>
        </w:rPr>
      </w:r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rPr>
          <w:rFonts w:ascii="Roboto;sans-serif" w:hAnsi="Roboto;sans-serif"/>
          <w:color w:val="000000"/>
          <w:sz w:val="27"/>
        </w:rPr>
        <w:t xml:space="preserve"> </w:t>
      </w:r>
      <w:r>
        <w:t xml:space="preserve">Исполнитель вправе самостоятельно определять способы выполнения задания Клиента, самостоятельно организовывать всю работу по исполнению настоящего договора, определять непосредственных исполнителей и распределять между ними обязанности. </w:t>
      </w:r>
      <w:r>
        <w:t xml:space="preserve">Исполнитель имеет право привлекать к выполнению Заказа третьих лиц при условии, что это не влияет на результат оказания Услуги. Исполнитель имеет право использовать для работы любые не запрещенные законодательством РФ источники информации (в т.ч. закрытые </w:t>
      </w:r>
      <w:r>
        <w:t xml:space="preserve">источники информации с ограниченным доступом сторонних потребителей) для исполнения настоящего договора.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Исполнитель вправе пользоваться услугами люб</w:t>
      </w:r>
      <w:r>
        <w:t xml:space="preserve">ых физических и юридических лиц в целях своевременного и качественного исполнения обязательств по договору. Привлечение к выполнению Услуг третьих лиц, в т.ч. в тот момент, когда услуга уже оказывается, не требует дополнительного согласования с Заказчиком.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Исполнитель обязуется оказать услуги, предусмотренные п.3.1. настоящего договора с соблюдением интересов Заказчика добросовестно, качественно и в пределах срока, который является разумным.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Исполнитель гарантирует, что представленные ему сведения не будут им использованы во вред интересам Заказчика или переданы третьим лицам иначе, чем для исполнения поставленной перед ним задачи.</w:t>
      </w:r>
      <w:r/>
    </w:p>
    <w:p>
      <w:pPr>
        <w:pStyle w:val="842"/>
        <w:numPr>
          <w:ilvl w:val="0"/>
          <w:numId w:val="1"/>
        </w:numPr>
        <w:spacing w:before="120" w:after="120"/>
        <w:tabs>
          <w:tab w:val="left" w:pos="709" w:leader="none"/>
        </w:tabs>
        <w:rPr>
          <w:b/>
          <w:sz w:val="27"/>
        </w:rPr>
      </w:pPr>
      <w:r>
        <w:rPr>
          <w:b/>
          <w:sz w:val="27"/>
        </w:rPr>
        <w:t xml:space="preserve">Права и обязанности заказчика</w:t>
      </w:r>
      <w:r>
        <w:rPr>
          <w:b/>
          <w:sz w:val="27"/>
        </w:rPr>
      </w:r>
      <w:r>
        <w:rPr>
          <w:b/>
          <w:sz w:val="27"/>
        </w:rPr>
      </w:r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Заказчик обязан оплатить услуги исполнителя в порядке, указанном при заказе запрашиваемой информации.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Заказчик обязан предоставить Исполнителю полную и достоверную информацию, необходимую для исполнения настоящего договора.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Заказчик имеет право требовать у Исполнителя сведения о ходе исполнения договора.</w:t>
      </w:r>
      <w:r/>
    </w:p>
    <w:p>
      <w:pPr>
        <w:pStyle w:val="842"/>
        <w:numPr>
          <w:ilvl w:val="0"/>
          <w:numId w:val="1"/>
        </w:numPr>
        <w:spacing w:before="120" w:after="120"/>
        <w:tabs>
          <w:tab w:val="left" w:pos="709" w:leader="none"/>
        </w:tabs>
        <w:rPr>
          <w:b/>
          <w:sz w:val="27"/>
        </w:rPr>
      </w:pPr>
      <w:r>
        <w:rPr>
          <w:b/>
          <w:sz w:val="27"/>
        </w:rPr>
        <w:t xml:space="preserve">Ответственность сторон</w:t>
      </w:r>
      <w:r>
        <w:rPr>
          <w:b/>
          <w:sz w:val="27"/>
        </w:rPr>
      </w:r>
      <w:r>
        <w:rPr>
          <w:b/>
          <w:sz w:val="27"/>
        </w:rPr>
      </w:r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rPr>
          <w:rFonts w:ascii="Roboto;sans-serif" w:hAnsi="Roboto;sans-serif"/>
          <w:color w:val="000000"/>
        </w:rPr>
        <w:t xml:space="preserve"> </w:t>
      </w:r>
      <w:r>
        <w:t xml:space="preserve">За неисполнение или не 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Исполнитель не несет ответственности за недостоверность, неполноту, содержание информации, предоставленной органом кадастрового учета, указанном в ст. 3 Федерального закона «О государственном кадастре недвижимости» № 221-ФЗ от 24.07.2007 года.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Стороны не несут ответственность за неисполнение условий настоящего договора, если такое неисполнение явилось следствием наступления обстоятельств непреодолимой силы, предусмотреть и/или предотвратить которые разумными мерами не могла ни одна из Сторон.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Бремя доказывания убытков лежит на потерпевшей Стороне.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Стороны согласовали, что на основании положения ст. 400 ГК РФ максимальный размер всей ответственности за нарушение условий настоящего договора не может превышать стоимость услуги, по которой </w:t>
      </w:r>
      <w:r>
        <w:t xml:space="preserve">одна из сторон требует компенсировать ей неустойку. Стороны согласовали тот факт, что максимальный размер неустойки, определенный настоящей статьей, включает в себя все пени, штрафы, неустойки и убытки, которые могут быть заявлены стороной для компенсации.</w:t>
      </w:r>
      <w:r/>
    </w:p>
    <w:p>
      <w:pPr>
        <w:pStyle w:val="842"/>
        <w:numPr>
          <w:ilvl w:val="0"/>
          <w:numId w:val="1"/>
        </w:numPr>
        <w:spacing w:before="120" w:after="120"/>
        <w:tabs>
          <w:tab w:val="left" w:pos="709" w:leader="none"/>
        </w:tabs>
        <w:rPr>
          <w:b/>
          <w:sz w:val="27"/>
        </w:rPr>
      </w:pPr>
      <w:r>
        <w:rPr>
          <w:b/>
          <w:sz w:val="27"/>
        </w:rPr>
        <w:t xml:space="preserve">Стоимость услуг и порядок оплаты</w:t>
      </w:r>
      <w:r>
        <w:rPr>
          <w:b/>
          <w:sz w:val="27"/>
        </w:rPr>
      </w:r>
      <w:r>
        <w:rPr>
          <w:b/>
          <w:sz w:val="27"/>
        </w:rPr>
      </w:r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rPr>
          <w:rFonts w:ascii="Roboto;sans-serif" w:hAnsi="Roboto;sans-serif"/>
          <w:b/>
          <w:color w:val="000000"/>
          <w:sz w:val="27"/>
        </w:rPr>
        <w:t xml:space="preserve"> </w:t>
      </w:r>
      <w:r>
        <w:t xml:space="preserve">Стоимость Информационных услуг, оказываемых Исполнителем, без учета комиссии платежной системы, в зависимости от заказанного документа, определяется на основании утвержденного прайс-листа, опубликованного на сайте </w:t>
      </w:r>
      <w:hyperlink r:id="rId10" w:tooltip="https://dominfo.pro" w:history="1">
        <w:r>
          <w:rPr>
            <w:rStyle w:val="840"/>
          </w:rPr>
          <w:t xml:space="preserve">https://dominfo.</w:t>
        </w:r>
        <w:r>
          <w:rPr>
            <w:rStyle w:val="840"/>
            <w:lang w:val="en-US"/>
          </w:rPr>
          <w:t xml:space="preserve">pro</w:t>
        </w:r>
      </w:hyperlink>
      <w:r>
        <w:t xml:space="preserve">. Исполнитель самостоятельно определяет ценовую политику и вносит соответствующие изменения в прайс-лист, при этом стоимость оказываемой услуги определяется на момент совершения заказа и является неизменной до момента оказания услуги в полном объеме.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Моментом совершения заказа считается акцепт Заказчика оферты путем, указанным п. 9.1 настоящей оферты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Все расчеты по Договору производятся в рублях РФ.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Оплата Информационных услуг, оказываемых Исполнителем, производится в виде предварительной оплаты в размере 100% стоимости с использованием банковских карт, безналичных платежей или иных форм расчетов, допустимых на территории РФ.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Заказчик не вправе запросить у Исполнителя возврат оплаты в случае отсутствия в Реестрах запрашиваемых сведений, поскольку получение отказа является, в том числе, результатом оказания услуги.</w:t>
      </w:r>
      <w:r/>
    </w:p>
    <w:p>
      <w:pPr>
        <w:pStyle w:val="842"/>
        <w:numPr>
          <w:ilvl w:val="0"/>
          <w:numId w:val="1"/>
        </w:numPr>
        <w:spacing w:before="120" w:after="120"/>
        <w:tabs>
          <w:tab w:val="left" w:pos="709" w:leader="none"/>
        </w:tabs>
        <w:rPr>
          <w:b/>
          <w:sz w:val="27"/>
        </w:rPr>
      </w:pPr>
      <w:r>
        <w:rPr>
          <w:b/>
          <w:sz w:val="27"/>
        </w:rPr>
        <w:t xml:space="preserve">Акцепт оферты и заключение публичного договора</w:t>
      </w:r>
      <w:r>
        <w:rPr>
          <w:b/>
          <w:sz w:val="27"/>
        </w:rPr>
      </w:r>
      <w:r>
        <w:rPr>
          <w:b/>
          <w:sz w:val="27"/>
        </w:rPr>
      </w:r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rPr>
          <w:rFonts w:ascii="Roboto;sans-serif" w:hAnsi="Roboto;sans-serif"/>
          <w:color w:val="000000"/>
        </w:rPr>
        <w:t xml:space="preserve"> </w:t>
      </w:r>
      <w:r>
        <w:t xml:space="preserve">Заказчик производит Акцепт Оферты путем оплаты Информационных услуг, в отношении которых заключается сделка, в течение срока для Акцепта с учетом условий гл. 8, 9 настоящего договора.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Срок для Акцепта составляет 1 (один) рабочий день с момента выставления для оплаты суммы, указанной в пункте 8.3 настоящего договора, на оплату Информационных услуг.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В случае если Заказчик произвел А</w:t>
      </w:r>
      <w:r>
        <w:t xml:space="preserve">кцепт Оферты в срок, превышающий указанный в п. 9.2. Оферты, Исполнитель имеет право, по своему усмотрению, принять такой Акцепт и приступить к оказанию Информационных услуг, либо отказаться от принятия такого Акцепта, возвратив Заказчику сумму предоплаты.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Стороны оставляют за собой право подписать настоящий договора, скрепив его подписями и печатями сторон, при этом все условия, указанные в настоящем договоре, приобретают условия индивидуально согласованных (утрата публичности договора). В</w:t>
      </w:r>
      <w:r>
        <w:t xml:space="preserve"> указанном в настоящем пункте случае датой заключения договора будет являться дата подписания договора второй стороной, при этом стороны согласовали, что договор может быть подписан, в т.ч., в электронной форме с использованием средств электронной подписи.</w:t>
      </w:r>
      <w:r/>
    </w:p>
    <w:p>
      <w:pPr>
        <w:pStyle w:val="842"/>
        <w:numPr>
          <w:ilvl w:val="0"/>
          <w:numId w:val="1"/>
        </w:numPr>
        <w:spacing w:before="120" w:after="120"/>
        <w:tabs>
          <w:tab w:val="left" w:pos="709" w:leader="none"/>
        </w:tabs>
      </w:pPr>
      <w:r>
        <w:rPr>
          <w:b/>
          <w:sz w:val="27"/>
        </w:rPr>
        <w:t xml:space="preserve"> Срок действия и изменение условий оферты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rPr>
          <w:rFonts w:ascii="Roboto;sans-serif" w:hAnsi="Roboto;sans-serif"/>
          <w:b/>
          <w:color w:val="000000"/>
          <w:sz w:val="27"/>
        </w:rPr>
        <w:t xml:space="preserve"> </w:t>
      </w:r>
      <w:r>
        <w:t xml:space="preserve">Настоящий договор вступает в силу с момента опубликования на Сайте по адресу </w:t>
      </w:r>
      <w:hyperlink r:id="rId11" w:tooltip="https://dominfo.pro/public/oferta.pdf" w:history="1">
        <w:r>
          <w:rPr>
            <w:rStyle w:val="840"/>
            <w:rFonts w:hint="eastAsia"/>
          </w:rPr>
          <w:t xml:space="preserve">https://dominfo.pro/public/oferta.pdf</w:t>
        </w:r>
      </w:hyperlink>
      <w:r>
        <w:t xml:space="preserve"> </w:t>
      </w:r>
      <w:r>
        <w:t xml:space="preserve">и действует до момента отзыва Исполнителем.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Исполнитель оставляет за собой право внести изменения в условия Договора и/или ото</w:t>
      </w:r>
      <w:r>
        <w:t xml:space="preserve">звать Оферту в любой момент по своему усмотрению. В случае внесения Исполнителем изменений в Договор, такие изменения вступают в силу с момента опубликования на Сайте, если иной срок вступления изменений в силу не определен дополнительно при их публикации.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В случае подписания настоящего дого</w:t>
      </w:r>
      <w:r>
        <w:t xml:space="preserve">вора сторонами на бумажном носителе, изменения, определенные пунктом 10.1 и 10.2 становятся обязательными для сторон по истечение 10 дней после направления Исполнителем в адрес Заказчика соответствующего уведомления по электронной почте и заказным письмом </w:t>
      </w:r>
      <w:r>
        <w:t xml:space="preserve">при отсутствии возражений со стороны Заказчика или его молчания. В случае, если после направления уведомления Заказчик продолжает пользоваться услугами сервиса на новых условиях, изменения считаются согласованными сторонами и стороны не могут ссылаться на </w:t>
      </w:r>
      <w:r>
        <w:t xml:space="preserve">незаключенность</w:t>
      </w:r>
      <w:r>
        <w:t xml:space="preserve"> договора и внесенных в него изменений.</w:t>
      </w:r>
      <w:r/>
    </w:p>
    <w:p>
      <w:pPr>
        <w:pStyle w:val="842"/>
        <w:numPr>
          <w:ilvl w:val="1"/>
          <w:numId w:val="1"/>
        </w:numPr>
        <w:spacing w:before="120" w:after="120"/>
        <w:tabs>
          <w:tab w:val="left" w:pos="1418" w:leader="none"/>
        </w:tabs>
      </w:pPr>
      <w:r>
        <w:t xml:space="preserve"> Исполнитель в</w:t>
      </w:r>
      <w:r>
        <w:t xml:space="preserve">праве на свое личное усмотрение проводить различные акции, как разовые, так и длящиеся, стимулировать Заказчика иным способом пользоваться Информационными услугами на более выгодных условиях, чем предусмотрено настоящей Офертой и согласованными расценками.</w:t>
      </w:r>
      <w:r/>
    </w:p>
    <w:p>
      <w:pPr>
        <w:pStyle w:val="834"/>
        <w:rPr>
          <w:rFonts w:ascii="Roboto;sans-serif" w:hAnsi="Roboto;sans-serif"/>
          <w:b w:val="0"/>
          <w:color w:val="000000"/>
          <w:sz w:val="27"/>
        </w:rPr>
      </w:pPr>
      <w:r>
        <w:rPr>
          <w:rFonts w:ascii="Roboto;sans-serif" w:hAnsi="Roboto;sans-serif"/>
          <w:b w:val="0"/>
          <w:color w:val="000000"/>
          <w:sz w:val="27"/>
        </w:rPr>
        <w:t xml:space="preserve">Реквизиты</w:t>
      </w:r>
      <w:r>
        <w:rPr>
          <w:rFonts w:ascii="Roboto;sans-serif" w:hAnsi="Roboto;sans-serif"/>
          <w:b w:val="0"/>
          <w:color w:val="000000"/>
          <w:sz w:val="27"/>
        </w:rPr>
      </w:r>
      <w:r>
        <w:rPr>
          <w:rFonts w:ascii="Roboto;sans-serif" w:hAnsi="Roboto;sans-serif"/>
          <w:b w:val="0"/>
          <w:color w:val="000000"/>
          <w:sz w:val="27"/>
        </w:rPr>
      </w:r>
    </w:p>
    <w:p>
      <w:pPr>
        <w:pStyle w:val="842"/>
        <w:spacing w:after="0"/>
        <w:rPr>
          <w:rFonts w:ascii="Roboto;sans-serif" w:hAnsi="Roboto;sans-serif"/>
          <w:color w:val="000000"/>
          <w:highlight w:val="none"/>
        </w:rPr>
      </w:pPr>
      <w:r>
        <w:rPr>
          <w:rFonts w:ascii="Roboto;sans-serif" w:hAnsi="Roboto;sans-serif"/>
          <w:color w:val="000000"/>
        </w:rPr>
        <w:t xml:space="preserve">ИП Селиванова Екатерина Александровна</w:t>
      </w:r>
      <w:r>
        <w:rPr>
          <w:rFonts w:ascii="Roboto;sans-serif" w:hAnsi="Roboto;sans-serif"/>
          <w:color w:val="000000"/>
        </w:rPr>
        <w:br/>
        <w:t xml:space="preserve">ИНН 550204072680 | ОГРН 314554330000139</w:t>
      </w:r>
      <w:r>
        <w:rPr>
          <w:rFonts w:ascii="Roboto;sans-serif" w:hAnsi="Roboto;sans-serif"/>
          <w:color w:val="000000"/>
        </w:rPr>
        <w:br/>
        <w:t xml:space="preserve">E-mail: </w:t>
      </w:r>
      <w:hyperlink r:id="rId12" w:tooltip="http://support@dominfo.pro" w:history="1">
        <w:r>
          <w:rPr>
            <w:rStyle w:val="840"/>
            <w:rFonts w:ascii="Roboto;sans-serif" w:hAnsi="Roboto;sans-serif"/>
          </w:rPr>
          <w:t xml:space="preserve">support@dominfo.pro</w:t>
        </w:r>
        <w:r>
          <w:rPr>
            <w:rStyle w:val="840"/>
          </w:rPr>
        </w:r>
        <w:r>
          <w:rPr>
            <w:rStyle w:val="840"/>
          </w:rPr>
        </w:r>
      </w:hyperlink>
      <w:r>
        <w:rPr>
          <w:rFonts w:ascii="Roboto;sans-serif" w:hAnsi="Roboto;sans-serif"/>
          <w:color w:val="000000"/>
          <w:highlight w:val="none"/>
        </w:rPr>
      </w:r>
      <w:r>
        <w:rPr>
          <w:rFonts w:ascii="Roboto;sans-serif" w:hAnsi="Roboto;sans-serif"/>
          <w:color w:val="000000"/>
          <w:highlight w:val="none"/>
        </w:rPr>
      </w:r>
    </w:p>
    <w:p>
      <w:pPr>
        <w:pStyle w:val="842"/>
        <w:spacing w:after="0"/>
      </w:pPr>
      <w:r>
        <w:rPr>
          <w:rFonts w:ascii="Roboto;sans-serif" w:hAnsi="Roboto;sans-serif"/>
          <w:color w:val="000000"/>
          <w:highlight w:val="none"/>
        </w:rPr>
      </w:r>
      <w:r>
        <w:rPr>
          <w:rFonts w:ascii="Roboto;sans-serif" w:hAnsi="Roboto;sans-serif"/>
          <w:color w:val="000000"/>
          <w:highlight w:val="none"/>
        </w:rPr>
      </w:r>
      <w:r/>
    </w:p>
    <w:p>
      <w:pPr>
        <w:pStyle w:val="842"/>
        <w:spacing w:before="120" w:after="120"/>
        <w:rPr>
          <w:rFonts w:ascii="Roboto;sans-serif" w:hAnsi="Roboto;sans-serif"/>
          <w:color w:val="000000"/>
        </w:rPr>
      </w:pPr>
      <w:r>
        <w:rPr>
          <w:rFonts w:ascii="Roboto;sans-serif" w:hAnsi="Roboto;sans-serif"/>
          <w:color w:val="000000"/>
        </w:rPr>
      </w:r>
      <w:r>
        <w:rPr>
          <w:rFonts w:ascii="Roboto;sans-serif" w:hAnsi="Roboto;sans-serif"/>
          <w:color w:val="000000"/>
        </w:rPr>
      </w:r>
      <w:r>
        <w:rPr>
          <w:rFonts w:ascii="Roboto;sans-serif" w:hAnsi="Roboto;sans-serif"/>
          <w:color w:val="000000"/>
        </w:rPr>
      </w:r>
    </w:p>
    <w:p>
      <w:pPr>
        <w:pStyle w:val="842"/>
        <w:spacing w:before="120" w:after="120"/>
        <w:rPr>
          <w:rFonts w:ascii="Roboto;sans-serif" w:hAnsi="Roboto;sans-serif"/>
          <w:color w:val="000000"/>
        </w:rPr>
      </w:pPr>
      <w:r>
        <w:rPr>
          <w:rFonts w:ascii="Roboto;sans-serif" w:hAnsi="Roboto;sans-serif"/>
          <w:color w:val="000000"/>
        </w:rPr>
      </w:r>
      <w:r>
        <w:rPr>
          <w:rFonts w:ascii="Roboto;sans-serif" w:hAnsi="Roboto;sans-serif"/>
          <w:color w:val="000000"/>
        </w:rPr>
      </w:r>
      <w:r>
        <w:rPr>
          <w:rFonts w:ascii="Roboto;sans-serif" w:hAnsi="Roboto;sans-serif"/>
          <w:color w:val="00000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PingFang SC"/>
  <w:font w:name="OpenSymbol">
    <w:panose1 w:val="05010000000000000000"/>
  </w:font>
  <w:font w:name="Songti SC"/>
  <w:font w:name="Arial">
    <w:panose1 w:val="020B0604020202020204"/>
  </w:font>
  <w:font w:name="Arial Unicode MS">
    <w:panose1 w:val="020B0604020202020204"/>
  </w:font>
  <w:font w:name="Roboto;sans-serif"/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09" w:hanging="283"/>
        <w:tabs>
          <w:tab w:val="num" w:pos="709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418" w:hanging="283"/>
        <w:tabs>
          <w:tab w:val="num" w:pos="1418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127" w:hanging="283"/>
        <w:tabs>
          <w:tab w:val="num" w:pos="212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836" w:hanging="283"/>
        <w:tabs>
          <w:tab w:val="num" w:pos="2836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545" w:hanging="283"/>
        <w:tabs>
          <w:tab w:val="num" w:pos="3545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254" w:hanging="283"/>
        <w:tabs>
          <w:tab w:val="num" w:pos="4254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963" w:hanging="283"/>
        <w:tabs>
          <w:tab w:val="num" w:pos="4963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5672" w:hanging="283"/>
        <w:tabs>
          <w:tab w:val="num" w:pos="5672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381" w:hanging="283"/>
        <w:tabs>
          <w:tab w:val="num" w:pos="6381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2"/>
    <w:next w:val="832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rPr>
      <w:rFonts w:ascii="Arial" w:hAnsi="Arial" w:eastAsia="Arial" w:cs="Arial"/>
      <w:sz w:val="40"/>
      <w:szCs w:val="40"/>
    </w:rPr>
  </w:style>
  <w:style w:type="character" w:styleId="660">
    <w:name w:val="Heading 2 Char"/>
    <w:basedOn w:val="835"/>
    <w:link w:val="833"/>
    <w:uiPriority w:val="9"/>
    <w:rPr>
      <w:rFonts w:ascii="Arial" w:hAnsi="Arial" w:eastAsia="Arial" w:cs="Arial"/>
      <w:sz w:val="34"/>
    </w:rPr>
  </w:style>
  <w:style w:type="character" w:styleId="661">
    <w:name w:val="Heading 3 Char"/>
    <w:basedOn w:val="835"/>
    <w:link w:val="834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2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character" w:styleId="688">
    <w:name w:val="Caption Char"/>
    <w:basedOn w:val="844"/>
    <w:link w:val="686"/>
    <w:uiPriority w:val="99"/>
  </w:style>
  <w:style w:type="table" w:styleId="689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789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790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791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792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793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794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796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797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798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799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00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01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03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04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05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06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07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08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5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5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paragraph" w:styleId="833">
    <w:name w:val="Heading 2"/>
    <w:basedOn w:val="841"/>
    <w:next w:val="842"/>
    <w:uiPriority w:val="9"/>
    <w:unhideWhenUsed/>
    <w:qFormat/>
    <w:pPr>
      <w:spacing w:before="200"/>
      <w:outlineLvl w:val="1"/>
    </w:pPr>
    <w:rPr>
      <w:rFonts w:ascii="Liberation Serif" w:hAnsi="Liberation Serif" w:eastAsia="Songti SC"/>
      <w:b/>
      <w:bCs/>
      <w:sz w:val="36"/>
      <w:szCs w:val="36"/>
    </w:rPr>
  </w:style>
  <w:style w:type="paragraph" w:styleId="834">
    <w:name w:val="Heading 3"/>
    <w:basedOn w:val="841"/>
    <w:next w:val="842"/>
    <w:uiPriority w:val="9"/>
    <w:unhideWhenUsed/>
    <w:qFormat/>
    <w:pPr>
      <w:spacing w:before="140"/>
      <w:outlineLvl w:val="2"/>
    </w:pPr>
    <w:rPr>
      <w:rFonts w:ascii="Liberation Serif" w:hAnsi="Liberation Serif" w:eastAsia="Songti SC"/>
      <w:b/>
      <w:bCs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 w:customStyle="1">
    <w:name w:val="Numbering Symbols"/>
    <w:qFormat/>
  </w:style>
  <w:style w:type="character" w:styleId="839" w:customStyle="1">
    <w:name w:val="Bullets"/>
    <w:qFormat/>
    <w:rPr>
      <w:rFonts w:ascii="OpenSymbol" w:hAnsi="OpenSymbol" w:eastAsia="OpenSymbol" w:cs="OpenSymbol"/>
    </w:rPr>
  </w:style>
  <w:style w:type="character" w:styleId="840">
    <w:name w:val="Hyperlink"/>
    <w:rPr>
      <w:color w:val="000080"/>
      <w:u w:val="single"/>
    </w:rPr>
  </w:style>
  <w:style w:type="paragraph" w:styleId="841" w:customStyle="1">
    <w:name w:val="Heading"/>
    <w:basedOn w:val="832"/>
    <w:next w:val="842"/>
    <w:qFormat/>
    <w:pPr>
      <w:keepNext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842">
    <w:name w:val="Body Text"/>
    <w:basedOn w:val="832"/>
    <w:pPr>
      <w:spacing w:after="140" w:line="276" w:lineRule="auto"/>
    </w:pPr>
  </w:style>
  <w:style w:type="paragraph" w:styleId="843">
    <w:name w:val="List"/>
    <w:basedOn w:val="842"/>
  </w:style>
  <w:style w:type="paragraph" w:styleId="844">
    <w:name w:val="Caption"/>
    <w:basedOn w:val="832"/>
    <w:qFormat/>
    <w:pPr>
      <w:spacing w:before="120" w:after="120"/>
      <w:suppressLineNumbers/>
    </w:pPr>
    <w:rPr>
      <w:i/>
      <w:iCs/>
    </w:rPr>
  </w:style>
  <w:style w:type="paragraph" w:styleId="845" w:customStyle="1">
    <w:name w:val="Index"/>
    <w:basedOn w:val="832"/>
    <w:qFormat/>
    <w:pPr>
      <w:suppressLineNumbers/>
    </w:pPr>
  </w:style>
  <w:style w:type="character" w:styleId="846">
    <w:name w:val="Unresolved Mention"/>
    <w:basedOn w:val="835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ominfo.pro" TargetMode="External"/><Relationship Id="rId10" Type="http://schemas.openxmlformats.org/officeDocument/2006/relationships/hyperlink" Target="https://dominfo.pro" TargetMode="External"/><Relationship Id="rId11" Type="http://schemas.openxmlformats.org/officeDocument/2006/relationships/hyperlink" Target="https://dominfo.pro/public/oferta.pdf" TargetMode="External"/><Relationship Id="rId12" Type="http://schemas.openxmlformats.org/officeDocument/2006/relationships/hyperlink" Target="http://support@dominfo.pr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Григорий Панченко</cp:lastModifiedBy>
  <cp:revision>5</cp:revision>
  <dcterms:created xsi:type="dcterms:W3CDTF">2025-08-20T06:05:31Z</dcterms:created>
  <dcterms:modified xsi:type="dcterms:W3CDTF">2026-03-08T08:52:17Z</dcterms:modified>
</cp:coreProperties>
</file>